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96FCA" w14:textId="6AF5E614" w:rsidR="000C6AC5" w:rsidRDefault="000C6AC5" w:rsidP="000C6AC5">
      <w:pPr>
        <w:spacing w:after="0" w:line="264" w:lineRule="auto"/>
        <w:rPr>
          <w:rFonts w:ascii="Arial" w:eastAsia="Times New Roman" w:hAnsi="Arial" w:cs="Arial"/>
        </w:rPr>
      </w:pPr>
      <w:bookmarkStart w:id="0" w:name="_Hlk478043031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0" allowOverlap="1" wp14:anchorId="3480A07B" wp14:editId="5BC9E227">
            <wp:simplePos x="0" y="0"/>
            <wp:positionH relativeFrom="column">
              <wp:posOffset>462280</wp:posOffset>
            </wp:positionH>
            <wp:positionV relativeFrom="paragraph">
              <wp:posOffset>125730</wp:posOffset>
            </wp:positionV>
            <wp:extent cx="568960" cy="731520"/>
            <wp:effectExtent l="0" t="0" r="2540" b="0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281CF" w14:textId="77777777" w:rsidR="000C6AC5" w:rsidRDefault="000C6AC5" w:rsidP="000C6AC5">
      <w:pPr>
        <w:spacing w:after="0" w:line="264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REPUBLIKA HRVATSKA</w:t>
      </w:r>
    </w:p>
    <w:p w14:paraId="201AAB7B" w14:textId="77777777" w:rsidR="000C6AC5" w:rsidRDefault="000C6AC5" w:rsidP="000C6AC5">
      <w:pPr>
        <w:spacing w:after="0" w:line="264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PRIMORSKO-GORANSKA ŽUPANIJA</w:t>
      </w:r>
    </w:p>
    <w:p w14:paraId="3A3159E3" w14:textId="77777777" w:rsidR="000C6AC5" w:rsidRDefault="000C6AC5" w:rsidP="000C6AC5">
      <w:pPr>
        <w:spacing w:after="0" w:line="264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GRAD KRALJEVICA</w:t>
      </w:r>
    </w:p>
    <w:p w14:paraId="125228E4" w14:textId="77777777" w:rsidR="000C6AC5" w:rsidRDefault="000C6AC5" w:rsidP="000C6AC5">
      <w:pPr>
        <w:spacing w:after="0" w:line="264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Gradsko izborno povjerenstvo</w:t>
      </w:r>
    </w:p>
    <w:p w14:paraId="74F77AFB" w14:textId="77777777" w:rsidR="000C6AC5" w:rsidRDefault="000C6AC5" w:rsidP="000C6AC5">
      <w:pPr>
        <w:spacing w:after="0" w:line="264" w:lineRule="auto"/>
        <w:rPr>
          <w:rFonts w:ascii="Arial" w:eastAsia="Times New Roman" w:hAnsi="Arial" w:cs="Arial"/>
          <w:b/>
          <w:bCs/>
        </w:rPr>
      </w:pPr>
    </w:p>
    <w:bookmarkEnd w:id="0"/>
    <w:p w14:paraId="6DE5FA9F" w14:textId="77777777" w:rsidR="0069608C" w:rsidRDefault="0069608C" w:rsidP="0069608C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KLASA: 013-03/21-01-2</w:t>
      </w:r>
    </w:p>
    <w:p w14:paraId="2ACCA97D" w14:textId="63F9FEBC" w:rsidR="0069608C" w:rsidRDefault="0069608C" w:rsidP="0069608C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URBROJ: 2170/08-01-21-</w:t>
      </w:r>
      <w:r>
        <w:rPr>
          <w:rFonts w:ascii="Arial" w:eastAsia="Times New Roman" w:hAnsi="Arial" w:cs="Arial"/>
        </w:rPr>
        <w:t>8</w:t>
      </w:r>
    </w:p>
    <w:p w14:paraId="088EE07A" w14:textId="77777777" w:rsidR="0069608C" w:rsidRDefault="0069608C" w:rsidP="0069608C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Kraljevica, 10. ožujka 2021.</w:t>
      </w:r>
    </w:p>
    <w:p w14:paraId="577F95FD" w14:textId="77777777" w:rsidR="001C77F6" w:rsidRPr="001C77F6" w:rsidRDefault="001C77F6" w:rsidP="001C77F6">
      <w:pPr>
        <w:spacing w:after="0" w:line="264" w:lineRule="auto"/>
        <w:rPr>
          <w:rFonts w:ascii="Arial" w:eastAsia="Times New Roman" w:hAnsi="Arial" w:cs="Arial"/>
        </w:rPr>
      </w:pPr>
    </w:p>
    <w:p w14:paraId="54A9E4C0" w14:textId="7E7C8834" w:rsidR="001C77F6" w:rsidRPr="001C77F6" w:rsidRDefault="001C77F6" w:rsidP="001C77F6">
      <w:pPr>
        <w:spacing w:after="0" w:line="264" w:lineRule="auto"/>
        <w:jc w:val="both"/>
        <w:rPr>
          <w:rFonts w:ascii="Arial" w:eastAsia="Times New Roman" w:hAnsi="Arial" w:cs="Arial"/>
        </w:rPr>
      </w:pPr>
      <w:r w:rsidRPr="001C77F6">
        <w:rPr>
          <w:rFonts w:ascii="Arial" w:eastAsia="Times New Roman" w:hAnsi="Arial" w:cs="Arial"/>
        </w:rPr>
        <w:t xml:space="preserve">Na temelju članka 23. Odluke o izboru članova vijeća mjesnih odbora na području Grada Kraljevice („Službene novine Grada Kraljevice“ broj 1/17 </w:t>
      </w:r>
      <w:r w:rsidR="00E62D16">
        <w:rPr>
          <w:rFonts w:ascii="Arial" w:eastAsia="Times New Roman" w:hAnsi="Arial" w:cs="Arial"/>
        </w:rPr>
        <w:t>i 5/20</w:t>
      </w:r>
      <w:r w:rsidRPr="001C77F6">
        <w:rPr>
          <w:rFonts w:ascii="Arial" w:eastAsia="Times New Roman" w:hAnsi="Arial" w:cs="Arial"/>
        </w:rPr>
        <w:t xml:space="preserve">– u daljnjem tekstu: Odluka), </w:t>
      </w:r>
      <w:r w:rsidR="005F5757">
        <w:rPr>
          <w:rFonts w:ascii="Arial" w:eastAsia="Times New Roman" w:hAnsi="Arial" w:cs="Arial"/>
        </w:rPr>
        <w:t xml:space="preserve">Gradsko izborno </w:t>
      </w:r>
      <w:r w:rsidRPr="001C77F6">
        <w:rPr>
          <w:rFonts w:ascii="Arial" w:eastAsia="Times New Roman" w:hAnsi="Arial" w:cs="Arial"/>
        </w:rPr>
        <w:t>povjerenstvo za provedbu izbora za vijeća mjesnih odbora na području Grada Kraljevice propisuje</w:t>
      </w:r>
    </w:p>
    <w:p w14:paraId="14B96B6D" w14:textId="77777777" w:rsidR="001C77F6" w:rsidRPr="00E468C1" w:rsidRDefault="001C77F6" w:rsidP="001C77F6">
      <w:pPr>
        <w:spacing w:after="0" w:line="240" w:lineRule="auto"/>
        <w:rPr>
          <w:rFonts w:ascii="Arial" w:eastAsia="Times New Roman" w:hAnsi="Arial" w:cs="Arial"/>
        </w:rPr>
      </w:pPr>
    </w:p>
    <w:p w14:paraId="4274B35A" w14:textId="08AE592D" w:rsidR="001C77F6" w:rsidRPr="0069608C" w:rsidRDefault="001C77F6" w:rsidP="0069608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E468C1">
        <w:rPr>
          <w:rFonts w:ascii="Arial" w:eastAsia="Times New Roman" w:hAnsi="Arial" w:cs="Arial"/>
          <w:b/>
          <w:bCs/>
        </w:rPr>
        <w:t>OBVEZATNE UPUTE BROJ III.</w:t>
      </w:r>
    </w:p>
    <w:p w14:paraId="12114F73" w14:textId="77777777" w:rsidR="001C77F6" w:rsidRPr="00E468C1" w:rsidRDefault="001C77F6" w:rsidP="001C77F6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468C1">
        <w:rPr>
          <w:rFonts w:ascii="Arial" w:eastAsia="Times New Roman" w:hAnsi="Arial" w:cs="Arial"/>
          <w:b/>
          <w:bCs/>
        </w:rPr>
        <w:t>o pravima i dužnostima promatrača i o načinu promatranja rada</w:t>
      </w:r>
    </w:p>
    <w:p w14:paraId="3D21BAC1" w14:textId="77777777" w:rsidR="001C77F6" w:rsidRPr="00E468C1" w:rsidRDefault="001C77F6" w:rsidP="001C77F6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468C1">
        <w:rPr>
          <w:rFonts w:ascii="Arial" w:eastAsia="Times New Roman" w:hAnsi="Arial" w:cs="Arial"/>
          <w:b/>
          <w:bCs/>
        </w:rPr>
        <w:t>tijela za provođenje izbora za članove vijeća mjesnih odbora</w:t>
      </w:r>
    </w:p>
    <w:p w14:paraId="52065EFF" w14:textId="77777777" w:rsidR="001C77F6" w:rsidRPr="00E468C1" w:rsidRDefault="001C77F6" w:rsidP="001C77F6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9773128" w14:textId="77777777" w:rsidR="001C77F6" w:rsidRPr="0042732C" w:rsidRDefault="001C77F6" w:rsidP="0042732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</w:p>
    <w:p w14:paraId="4CA5A12D" w14:textId="77777777" w:rsidR="0042732C" w:rsidRPr="0042732C" w:rsidRDefault="001C77F6" w:rsidP="0042732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42732C">
        <w:rPr>
          <w:rFonts w:ascii="Arial" w:eastAsia="Times New Roman" w:hAnsi="Arial" w:cs="Arial"/>
          <w:b/>
          <w:bCs/>
        </w:rPr>
        <w:t xml:space="preserve">I. </w:t>
      </w:r>
      <w:r w:rsidR="0042732C" w:rsidRPr="0042732C">
        <w:rPr>
          <w:rFonts w:ascii="Arial" w:eastAsia="Times New Roman" w:hAnsi="Arial" w:cs="Arial"/>
          <w:b/>
          <w:bCs/>
        </w:rPr>
        <w:t>Vrste promatrača</w:t>
      </w:r>
    </w:p>
    <w:p w14:paraId="0925066E" w14:textId="77777777" w:rsidR="001C77F6" w:rsidRPr="0042732C" w:rsidRDefault="001C77F6" w:rsidP="0042732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2732C">
        <w:rPr>
          <w:rFonts w:ascii="Arial" w:eastAsia="Times New Roman" w:hAnsi="Arial" w:cs="Arial"/>
        </w:rPr>
        <w:t>Pravo pratiti provedbu izbora tijekom čitavog izbornog postupka kod svih izbornih tijela imaju:</w:t>
      </w:r>
    </w:p>
    <w:p w14:paraId="6C745D96" w14:textId="77777777" w:rsidR="001C77F6" w:rsidRPr="0042732C" w:rsidRDefault="001C77F6" w:rsidP="0042732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2732C">
        <w:rPr>
          <w:rFonts w:ascii="Arial" w:eastAsia="Times New Roman" w:hAnsi="Arial" w:cs="Arial"/>
        </w:rPr>
        <w:t xml:space="preserve">-registrirane političke stranke u Republici Hrvatskoj i birači koji su predložili </w:t>
      </w:r>
      <w:r w:rsidR="001F35B2" w:rsidRPr="0042732C">
        <w:rPr>
          <w:rFonts w:ascii="Arial" w:eastAsia="Times New Roman" w:hAnsi="Arial" w:cs="Arial"/>
        </w:rPr>
        <w:t xml:space="preserve">kandidacijske </w:t>
      </w:r>
      <w:r w:rsidRPr="0042732C">
        <w:rPr>
          <w:rFonts w:ascii="Arial" w:eastAsia="Times New Roman" w:hAnsi="Arial" w:cs="Arial"/>
        </w:rPr>
        <w:t>liste za izbore članova vijeća mjesnih odbora</w:t>
      </w:r>
    </w:p>
    <w:p w14:paraId="275B2F32" w14:textId="1638AEC4" w:rsidR="00E468C1" w:rsidRDefault="001C77F6" w:rsidP="00A156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2732C">
        <w:rPr>
          <w:rFonts w:ascii="Arial" w:eastAsia="Times New Roman" w:hAnsi="Arial" w:cs="Arial"/>
        </w:rPr>
        <w:t>-nevladine udruge re</w:t>
      </w:r>
      <w:r w:rsidR="00A156AE">
        <w:rPr>
          <w:rFonts w:ascii="Arial" w:eastAsia="Times New Roman" w:hAnsi="Arial" w:cs="Arial"/>
        </w:rPr>
        <w:t xml:space="preserve">gistrirane u Republici Hrvatskoj. </w:t>
      </w:r>
    </w:p>
    <w:p w14:paraId="17955605" w14:textId="77777777" w:rsidR="00A156AE" w:rsidRPr="0042732C" w:rsidRDefault="00A156AE" w:rsidP="00A156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02E55DF" w14:textId="77777777" w:rsidR="0042732C" w:rsidRPr="0042732C" w:rsidRDefault="00E468C1" w:rsidP="0042732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42732C">
        <w:rPr>
          <w:rFonts w:ascii="Arial" w:eastAsia="Times New Roman" w:hAnsi="Arial" w:cs="Arial"/>
          <w:b/>
        </w:rPr>
        <w:t xml:space="preserve">II. </w:t>
      </w:r>
      <w:r w:rsidR="0042732C" w:rsidRPr="0042732C">
        <w:rPr>
          <w:rFonts w:ascii="Arial" w:eastAsia="Times New Roman" w:hAnsi="Arial" w:cs="Arial"/>
          <w:b/>
        </w:rPr>
        <w:t>Način određivanja promatrača</w:t>
      </w:r>
    </w:p>
    <w:p w14:paraId="3CA13B81" w14:textId="77777777" w:rsidR="00E468C1" w:rsidRPr="0042732C" w:rsidRDefault="00E468C1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42732C">
        <w:rPr>
          <w:rFonts w:ascii="Arial" w:hAnsi="Arial" w:cs="Arial"/>
          <w:shd w:val="clear" w:color="auto" w:fill="FFFFFF"/>
        </w:rPr>
        <w:t>Politička stranka, odnosno udruga dužna je promatraču kojega je odredila izdati potvrdu o svojstvu promatrača. Potvrdu izdaje i potpisuje osoba ovlaštena za zastupanje političke stranke, odnosno udruge određena statutom ili drugom odlukom donesenom na temelju statuta stranke, odnosno punomoćnik kojega ta osoba ovlasti.</w:t>
      </w:r>
    </w:p>
    <w:p w14:paraId="1074A87F" w14:textId="77777777" w:rsidR="001C77F6" w:rsidRPr="0042732C" w:rsidRDefault="00E468C1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42732C">
        <w:rPr>
          <w:rFonts w:ascii="Arial" w:hAnsi="Arial" w:cs="Arial"/>
          <w:shd w:val="clear" w:color="auto" w:fill="FFFFFF"/>
        </w:rPr>
        <w:t>Predlagatelj kandidacijske liste birača, dužni su promatraču kojega su odredili izdati potvrdu o svojstvu promatrača. Potvrdu izdaje i potpisuje predlagatelj ili nositelj kandidacijske liste birača.</w:t>
      </w:r>
    </w:p>
    <w:p w14:paraId="6670C170" w14:textId="77777777" w:rsidR="00E468C1" w:rsidRPr="0042732C" w:rsidRDefault="00E468C1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42732C">
        <w:rPr>
          <w:rFonts w:ascii="Arial" w:hAnsi="Arial" w:cs="Arial"/>
          <w:shd w:val="clear" w:color="auto" w:fill="FFFFFF"/>
        </w:rPr>
        <w:t>Kandidat na izborima ne smije biti promatrač na izborima za koje je kandidat.</w:t>
      </w:r>
    </w:p>
    <w:p w14:paraId="0EB9D376" w14:textId="77777777" w:rsidR="00E468C1" w:rsidRPr="002C1DBF" w:rsidRDefault="00E468C1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</w:p>
    <w:p w14:paraId="09F20D51" w14:textId="77777777" w:rsidR="0042732C" w:rsidRPr="002C1DBF" w:rsidRDefault="00E468C1" w:rsidP="0042732C">
      <w:pPr>
        <w:pStyle w:val="Naslov4"/>
        <w:shd w:val="clear" w:color="auto" w:fill="FFFFFF"/>
        <w:spacing w:before="0" w:line="240" w:lineRule="auto"/>
        <w:ind w:firstLine="708"/>
        <w:rPr>
          <w:rFonts w:ascii="Arial" w:eastAsia="Times New Roman" w:hAnsi="Arial" w:cs="Arial"/>
          <w:b/>
          <w:bCs/>
          <w:i w:val="0"/>
          <w:iCs w:val="0"/>
          <w:color w:val="auto"/>
          <w:lang w:eastAsia="hr-HR"/>
        </w:rPr>
      </w:pPr>
      <w:r w:rsidRPr="002C1DBF">
        <w:rPr>
          <w:rFonts w:ascii="Arial" w:eastAsia="Times New Roman" w:hAnsi="Arial" w:cs="Arial"/>
          <w:b/>
          <w:bCs/>
          <w:i w:val="0"/>
          <w:color w:val="auto"/>
        </w:rPr>
        <w:t xml:space="preserve">III. </w:t>
      </w:r>
      <w:r w:rsidR="0042732C" w:rsidRPr="002C1DBF">
        <w:rPr>
          <w:rFonts w:ascii="Arial" w:eastAsia="Times New Roman" w:hAnsi="Arial" w:cs="Arial"/>
          <w:b/>
          <w:bCs/>
          <w:i w:val="0"/>
          <w:iCs w:val="0"/>
          <w:color w:val="auto"/>
          <w:lang w:eastAsia="hr-HR"/>
        </w:rPr>
        <w:t>Podnošenje zahtjeva za promatranje izbora</w:t>
      </w:r>
    </w:p>
    <w:p w14:paraId="25F59FCA" w14:textId="77777777" w:rsidR="001C77F6" w:rsidRPr="002C1DBF" w:rsidRDefault="00E468C1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2C1DBF">
        <w:rPr>
          <w:rFonts w:ascii="Arial" w:hAnsi="Arial" w:cs="Arial"/>
          <w:shd w:val="clear" w:color="auto" w:fill="FFFFFF"/>
        </w:rPr>
        <w:t>Političke stranke te predlagatelj kandidacijske liste grupe birača mogu podnijeti zahtjev za promatranje izbora od dana objave zbirnih lista kandidacijskih lista.</w:t>
      </w:r>
    </w:p>
    <w:p w14:paraId="5AFFC72C" w14:textId="63D4CEBA" w:rsidR="00E468C1" w:rsidRDefault="00E468C1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2C1DBF">
        <w:rPr>
          <w:rFonts w:ascii="Arial" w:hAnsi="Arial" w:cs="Arial"/>
          <w:shd w:val="clear" w:color="auto" w:fill="FFFFFF"/>
        </w:rPr>
        <w:t>Nevladine udruge i strani promatrači mogu podnijeti zahtjev za promatranje izbora od dana stupanja na snagu odluke o raspisivanju izbora.</w:t>
      </w:r>
    </w:p>
    <w:p w14:paraId="760B8FB5" w14:textId="73928B34" w:rsidR="00A156AE" w:rsidRPr="002C1DBF" w:rsidRDefault="00A156AE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Zahtjevi za promatranje izbora i popis promatrača dostavljaju se Gradskom izbornom povjerenstvu Grada Kraljevice najkasnije 5 dana prije održavanja izbora.</w:t>
      </w:r>
    </w:p>
    <w:p w14:paraId="2188C511" w14:textId="77777777" w:rsidR="0042732C" w:rsidRPr="002C1DBF" w:rsidRDefault="0042732C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</w:p>
    <w:p w14:paraId="16FCEE1A" w14:textId="77777777" w:rsidR="0042732C" w:rsidRPr="002C1DBF" w:rsidRDefault="00E468C1" w:rsidP="0042732C">
      <w:pPr>
        <w:pStyle w:val="Naslov4"/>
        <w:shd w:val="clear" w:color="auto" w:fill="FFFFFF"/>
        <w:spacing w:before="0" w:line="240" w:lineRule="auto"/>
        <w:ind w:firstLine="708"/>
        <w:rPr>
          <w:rFonts w:ascii="Arial" w:eastAsia="Times New Roman" w:hAnsi="Arial" w:cs="Arial"/>
          <w:b/>
          <w:bCs/>
          <w:i w:val="0"/>
          <w:iCs w:val="0"/>
          <w:color w:val="auto"/>
          <w:lang w:eastAsia="hr-HR"/>
        </w:rPr>
      </w:pPr>
      <w:r w:rsidRPr="002C1DBF">
        <w:rPr>
          <w:rFonts w:ascii="Arial" w:eastAsia="Times New Roman" w:hAnsi="Arial" w:cs="Arial"/>
          <w:b/>
          <w:i w:val="0"/>
          <w:color w:val="auto"/>
        </w:rPr>
        <w:t>IV.</w:t>
      </w:r>
      <w:r w:rsidRPr="002C1DBF">
        <w:rPr>
          <w:rFonts w:ascii="Arial" w:hAnsi="Arial" w:cs="Arial"/>
          <w:i w:val="0"/>
          <w:color w:val="auto"/>
          <w:shd w:val="clear" w:color="auto" w:fill="FFFFFF"/>
        </w:rPr>
        <w:t xml:space="preserve"> </w:t>
      </w:r>
      <w:r w:rsidR="0042732C" w:rsidRPr="002C1DBF">
        <w:rPr>
          <w:rFonts w:ascii="Arial" w:eastAsia="Times New Roman" w:hAnsi="Arial" w:cs="Arial"/>
          <w:b/>
          <w:bCs/>
          <w:i w:val="0"/>
          <w:iCs w:val="0"/>
          <w:color w:val="auto"/>
          <w:lang w:eastAsia="hr-HR"/>
        </w:rPr>
        <w:t>Službene iskaznice promatrača</w:t>
      </w:r>
    </w:p>
    <w:p w14:paraId="00471585" w14:textId="29776B10" w:rsidR="00E468C1" w:rsidRPr="002C1DBF" w:rsidRDefault="00E468C1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2C1DBF">
        <w:rPr>
          <w:rFonts w:ascii="Arial" w:hAnsi="Arial" w:cs="Arial"/>
          <w:shd w:val="clear" w:color="auto" w:fill="FFFFFF"/>
        </w:rPr>
        <w:t xml:space="preserve">Službenu iskaznicu promatraču izdaje i uručuje </w:t>
      </w:r>
      <w:r w:rsidR="00A156AE">
        <w:rPr>
          <w:rFonts w:ascii="Arial" w:hAnsi="Arial" w:cs="Arial"/>
          <w:shd w:val="clear" w:color="auto" w:fill="FFFFFF"/>
        </w:rPr>
        <w:t>Gradsko</w:t>
      </w:r>
      <w:r w:rsidRPr="002C1DBF">
        <w:rPr>
          <w:rFonts w:ascii="Arial" w:hAnsi="Arial" w:cs="Arial"/>
          <w:shd w:val="clear" w:color="auto" w:fill="FFFFFF"/>
        </w:rPr>
        <w:t xml:space="preserve"> izborno povjerenstvo</w:t>
      </w:r>
      <w:r w:rsidR="00A156AE">
        <w:rPr>
          <w:rFonts w:ascii="Arial" w:hAnsi="Arial" w:cs="Arial"/>
          <w:shd w:val="clear" w:color="auto" w:fill="FFFFFF"/>
        </w:rPr>
        <w:t xml:space="preserve"> Grada Kraljevice</w:t>
      </w:r>
      <w:r w:rsidRPr="002C1DBF">
        <w:rPr>
          <w:rFonts w:ascii="Arial" w:hAnsi="Arial" w:cs="Arial"/>
          <w:shd w:val="clear" w:color="auto" w:fill="FFFFFF"/>
        </w:rPr>
        <w:t>.</w:t>
      </w:r>
    </w:p>
    <w:p w14:paraId="42113A07" w14:textId="77777777" w:rsidR="0042732C" w:rsidRPr="002C1DBF" w:rsidRDefault="0042732C" w:rsidP="0042732C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</w:p>
    <w:p w14:paraId="29EBE68D" w14:textId="77777777" w:rsidR="0042732C" w:rsidRPr="002C1DBF" w:rsidRDefault="00E468C1" w:rsidP="0042732C">
      <w:pPr>
        <w:pStyle w:val="Naslov4"/>
        <w:shd w:val="clear" w:color="auto" w:fill="FFFFFF"/>
        <w:spacing w:before="0" w:line="240" w:lineRule="auto"/>
        <w:ind w:firstLine="708"/>
        <w:rPr>
          <w:rFonts w:ascii="Arial" w:eastAsia="Times New Roman" w:hAnsi="Arial" w:cs="Arial"/>
          <w:b/>
          <w:bCs/>
          <w:i w:val="0"/>
          <w:iCs w:val="0"/>
          <w:color w:val="auto"/>
          <w:lang w:eastAsia="hr-HR"/>
        </w:rPr>
      </w:pPr>
      <w:r w:rsidRPr="002C1DBF">
        <w:rPr>
          <w:rFonts w:ascii="Arial" w:hAnsi="Arial" w:cs="Arial"/>
          <w:b/>
          <w:i w:val="0"/>
          <w:color w:val="auto"/>
          <w:shd w:val="clear" w:color="auto" w:fill="FFFFFF"/>
        </w:rPr>
        <w:t xml:space="preserve">V. </w:t>
      </w:r>
      <w:r w:rsidR="0042732C" w:rsidRPr="002C1DBF">
        <w:rPr>
          <w:rFonts w:ascii="Arial" w:eastAsia="Times New Roman" w:hAnsi="Arial" w:cs="Arial"/>
          <w:b/>
          <w:bCs/>
          <w:i w:val="0"/>
          <w:iCs w:val="0"/>
          <w:color w:val="auto"/>
          <w:lang w:eastAsia="hr-HR"/>
        </w:rPr>
        <w:t>Promatranje rada biračkog odbora i izbornog povjerenstva</w:t>
      </w:r>
    </w:p>
    <w:p w14:paraId="59F88670" w14:textId="77777777" w:rsidR="00E468C1" w:rsidRPr="002C1DBF" w:rsidRDefault="0042732C" w:rsidP="001C77F6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2C1DBF">
        <w:rPr>
          <w:rFonts w:ascii="Arial" w:hAnsi="Arial" w:cs="Arial"/>
          <w:shd w:val="clear" w:color="auto" w:fill="FFFFFF"/>
        </w:rPr>
        <w:t>Promatrač koji promatra rad biračkog odbora ima pravo biti nazočan radu biračkog odbora od pripremanja biračkog mjesta prije njegova otvaranja, za vrijeme glasovanja, prebrojavanja glasačkih listića i utvrđivanja rezultata glasovanja te ispunjavanja zapisnika o radu biračkog odbora.</w:t>
      </w:r>
    </w:p>
    <w:p w14:paraId="2E4A6103" w14:textId="77777777" w:rsidR="0042732C" w:rsidRPr="002C1DBF" w:rsidRDefault="0042732C" w:rsidP="002C1DBF">
      <w:pPr>
        <w:spacing w:after="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2C1DBF">
        <w:rPr>
          <w:rFonts w:ascii="Arial" w:hAnsi="Arial" w:cs="Arial"/>
          <w:shd w:val="clear" w:color="auto" w:fill="FFFFFF"/>
        </w:rPr>
        <w:t>Promatrač ne smije odgovarati na upite birača, a u slučaju da mu se birač obrati, dužan je uputiti ga predsjedniku ili članu biračkog odbora.</w:t>
      </w:r>
    </w:p>
    <w:p w14:paraId="76788043" w14:textId="0AE2C1E7" w:rsidR="0042732C" w:rsidRDefault="0042732C" w:rsidP="002C1DBF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2C1DBF">
        <w:rPr>
          <w:rFonts w:ascii="Arial" w:hAnsi="Arial" w:cs="Arial"/>
          <w:shd w:val="clear" w:color="auto" w:fill="FFFFFF"/>
        </w:rPr>
        <w:t>Promatrač ima pravo biti nazočan radu nadležnog izbornog povjerenstva za vrijeme održavanja sjednica</w:t>
      </w:r>
      <w:r w:rsidR="00C63674">
        <w:rPr>
          <w:rFonts w:ascii="Arial" w:hAnsi="Arial" w:cs="Arial"/>
          <w:shd w:val="clear" w:color="auto" w:fill="FFFFFF"/>
        </w:rPr>
        <w:t>.</w:t>
      </w:r>
    </w:p>
    <w:p w14:paraId="07DD71D2" w14:textId="77777777" w:rsidR="002C1DBF" w:rsidRPr="002C1DBF" w:rsidRDefault="002C1DBF" w:rsidP="002C1DBF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</w:rPr>
      </w:pPr>
    </w:p>
    <w:p w14:paraId="556432EB" w14:textId="77777777" w:rsidR="0042732C" w:rsidRPr="002C1DBF" w:rsidRDefault="0042732C" w:rsidP="002C1DBF">
      <w:pPr>
        <w:pStyle w:val="Naslov4"/>
        <w:shd w:val="clear" w:color="auto" w:fill="FFFFFF"/>
        <w:spacing w:before="0" w:line="240" w:lineRule="auto"/>
        <w:ind w:firstLine="708"/>
        <w:rPr>
          <w:rFonts w:ascii="Arial" w:eastAsia="Times New Roman" w:hAnsi="Arial" w:cs="Arial"/>
          <w:b/>
          <w:bCs/>
          <w:i w:val="0"/>
          <w:iCs w:val="0"/>
          <w:color w:val="auto"/>
          <w:lang w:eastAsia="hr-HR"/>
        </w:rPr>
      </w:pPr>
      <w:r w:rsidRPr="002C1DBF">
        <w:rPr>
          <w:rFonts w:ascii="Arial" w:eastAsia="Times New Roman" w:hAnsi="Arial" w:cs="Arial"/>
          <w:b/>
          <w:bCs/>
          <w:i w:val="0"/>
          <w:color w:val="auto"/>
        </w:rPr>
        <w:t>VI.</w:t>
      </w:r>
      <w:r w:rsidRPr="002C1DBF">
        <w:rPr>
          <w:rFonts w:ascii="Arial" w:eastAsia="Times New Roman" w:hAnsi="Arial" w:cs="Arial"/>
          <w:b/>
          <w:bCs/>
          <w:i w:val="0"/>
          <w:iCs w:val="0"/>
          <w:color w:val="auto"/>
          <w:lang w:eastAsia="hr-HR"/>
        </w:rPr>
        <w:t xml:space="preserve"> Ovlasti izbornih tijela prema promatračima</w:t>
      </w:r>
    </w:p>
    <w:p w14:paraId="000252F7" w14:textId="1FCBADBC" w:rsidR="002C1DBF" w:rsidRPr="002C1DBF" w:rsidRDefault="002C1DBF" w:rsidP="005F5757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2C1DBF">
        <w:rPr>
          <w:rFonts w:ascii="Arial" w:hAnsi="Arial" w:cs="Arial"/>
          <w:shd w:val="clear" w:color="auto" w:fill="FFFFFF"/>
        </w:rPr>
        <w:t>Izborno tijelo čiji se rad promatra ne smije isključiti promatranje, ali smije ograničiti broj promatrača, ako nedostatak prostora ili drugi razlozi ne dopuštaju istovremeno promatranje svim promatračima. Političkim strankama, birači</w:t>
      </w:r>
      <w:r w:rsidR="00A156AE">
        <w:rPr>
          <w:rFonts w:ascii="Arial" w:hAnsi="Arial" w:cs="Arial"/>
          <w:shd w:val="clear" w:color="auto" w:fill="FFFFFF"/>
        </w:rPr>
        <w:t xml:space="preserve">ma koji su predložili kandidate i </w:t>
      </w:r>
      <w:r w:rsidRPr="002C1DBF">
        <w:rPr>
          <w:rFonts w:ascii="Arial" w:hAnsi="Arial" w:cs="Arial"/>
          <w:shd w:val="clear" w:color="auto" w:fill="FFFFFF"/>
        </w:rPr>
        <w:t xml:space="preserve"> ne</w:t>
      </w:r>
      <w:r w:rsidR="00A156AE">
        <w:rPr>
          <w:rFonts w:ascii="Arial" w:hAnsi="Arial" w:cs="Arial"/>
          <w:shd w:val="clear" w:color="auto" w:fill="FFFFFF"/>
        </w:rPr>
        <w:t>vladinim udrugama</w:t>
      </w:r>
      <w:r w:rsidRPr="002C1DBF">
        <w:rPr>
          <w:rFonts w:ascii="Arial" w:hAnsi="Arial" w:cs="Arial"/>
          <w:shd w:val="clear" w:color="auto" w:fill="FFFFFF"/>
        </w:rPr>
        <w:t xml:space="preserve"> mora se omogućiti da imaju najmanje po jednog promatrača na biralištu ili pri izbornom tijelu.</w:t>
      </w:r>
    </w:p>
    <w:p w14:paraId="74358F4A" w14:textId="655320D3" w:rsidR="002C1DBF" w:rsidRDefault="002C1DBF" w:rsidP="005F5757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2C1DBF">
        <w:rPr>
          <w:rFonts w:ascii="Arial" w:hAnsi="Arial" w:cs="Arial"/>
          <w:shd w:val="clear" w:color="auto" w:fill="FFFFFF"/>
        </w:rPr>
        <w:t>Promatrač ne smije ometati rad izbornog tijela.</w:t>
      </w:r>
    </w:p>
    <w:p w14:paraId="45C7079D" w14:textId="49FA8977" w:rsidR="0042732C" w:rsidRPr="005F5757" w:rsidRDefault="005F5757" w:rsidP="005F575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b/>
          <w:bCs/>
        </w:rPr>
      </w:pPr>
      <w:r w:rsidRPr="005F5757">
        <w:rPr>
          <w:rFonts w:ascii="Arial" w:hAnsi="Arial" w:cs="Arial"/>
          <w:bCs/>
        </w:rPr>
        <w:t>Promatraču nije dopušteno</w:t>
      </w:r>
      <w:r>
        <w:rPr>
          <w:rFonts w:ascii="Arial" w:hAnsi="Arial" w:cs="Arial"/>
          <w:b/>
          <w:bCs/>
        </w:rPr>
        <w:t xml:space="preserve"> </w:t>
      </w:r>
      <w:r w:rsidRPr="004424C6">
        <w:rPr>
          <w:rFonts w:ascii="Arial" w:hAnsi="Arial" w:cs="Arial"/>
        </w:rPr>
        <w:t>nositi oznake, značke ili materijale neke politič</w:t>
      </w:r>
      <w:r>
        <w:rPr>
          <w:rFonts w:ascii="Arial" w:hAnsi="Arial" w:cs="Arial"/>
        </w:rPr>
        <w:t xml:space="preserve">ke stranke ili kandidacijske liste, </w:t>
      </w:r>
      <w:r w:rsidRPr="004424C6">
        <w:rPr>
          <w:rFonts w:ascii="Arial" w:hAnsi="Arial" w:cs="Arial"/>
        </w:rPr>
        <w:t>tonsko ili video snimanje</w:t>
      </w:r>
      <w:r>
        <w:rPr>
          <w:rFonts w:ascii="Arial" w:hAnsi="Arial" w:cs="Arial"/>
        </w:rPr>
        <w:t xml:space="preserve"> te fotografiranje te </w:t>
      </w:r>
      <w:r w:rsidRPr="004424C6">
        <w:rPr>
          <w:rFonts w:ascii="Arial" w:hAnsi="Arial" w:cs="Arial"/>
        </w:rPr>
        <w:t>na bilo koji način utjecati na birače.</w:t>
      </w:r>
    </w:p>
    <w:p w14:paraId="7F7BF1DD" w14:textId="3ADA3A39" w:rsidR="001C77F6" w:rsidRPr="00E468C1" w:rsidRDefault="002C1DBF" w:rsidP="001C77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C1DBF">
        <w:rPr>
          <w:rFonts w:ascii="Arial" w:eastAsia="Times New Roman" w:hAnsi="Arial" w:cs="Arial"/>
          <w:b/>
        </w:rPr>
        <w:t>VII.</w:t>
      </w:r>
      <w:r>
        <w:rPr>
          <w:rFonts w:ascii="Arial" w:eastAsia="Times New Roman" w:hAnsi="Arial" w:cs="Arial"/>
          <w:b/>
        </w:rPr>
        <w:t xml:space="preserve"> </w:t>
      </w:r>
      <w:r w:rsidR="001C77F6" w:rsidRPr="00E468C1">
        <w:rPr>
          <w:rFonts w:ascii="Arial" w:eastAsia="Times New Roman" w:hAnsi="Arial" w:cs="Arial"/>
        </w:rPr>
        <w:t>Ove Obvezatne pute stupaju na snagu dano</w:t>
      </w:r>
      <w:r w:rsidR="00953DDE">
        <w:rPr>
          <w:rFonts w:ascii="Arial" w:eastAsia="Times New Roman" w:hAnsi="Arial" w:cs="Arial"/>
        </w:rPr>
        <w:t xml:space="preserve">m donošenja, a objavljuju se </w:t>
      </w:r>
      <w:r w:rsidR="001C77F6" w:rsidRPr="00E468C1">
        <w:rPr>
          <w:rFonts w:ascii="Arial" w:eastAsia="Times New Roman" w:hAnsi="Arial" w:cs="Arial"/>
        </w:rPr>
        <w:t>na Internet stranicama Grada.</w:t>
      </w:r>
    </w:p>
    <w:p w14:paraId="50FAB7B3" w14:textId="77777777" w:rsidR="001C77F6" w:rsidRPr="00E468C1" w:rsidRDefault="001C77F6" w:rsidP="001C77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4EF9DC9" w14:textId="77777777" w:rsidR="000C6AC5" w:rsidRDefault="000C6AC5" w:rsidP="000C6AC5">
      <w:pPr>
        <w:spacing w:after="0" w:line="264" w:lineRule="auto"/>
        <w:ind w:left="4820"/>
        <w:jc w:val="center"/>
        <w:rPr>
          <w:rFonts w:ascii="Arial" w:eastAsia="Times New Roman" w:hAnsi="Arial" w:cs="Arial"/>
          <w:b/>
          <w:bCs/>
        </w:rPr>
      </w:pPr>
      <w:bookmarkStart w:id="1" w:name="_Hlk478043046"/>
      <w:r>
        <w:rPr>
          <w:rFonts w:ascii="Arial" w:eastAsia="Times New Roman" w:hAnsi="Arial" w:cs="Arial"/>
          <w:b/>
          <w:bCs/>
        </w:rPr>
        <w:t>GIP Grada Kraljevice</w:t>
      </w:r>
    </w:p>
    <w:p w14:paraId="1784DDE5" w14:textId="77777777" w:rsidR="000C6AC5" w:rsidRDefault="000C6AC5" w:rsidP="000C6AC5">
      <w:pPr>
        <w:spacing w:after="0" w:line="264" w:lineRule="auto"/>
        <w:ind w:left="4820"/>
        <w:jc w:val="center"/>
        <w:rPr>
          <w:rFonts w:ascii="Arial" w:eastAsia="Times New Roman" w:hAnsi="Arial" w:cs="Arial"/>
          <w:bCs/>
        </w:rPr>
      </w:pPr>
      <w:r w:rsidRPr="001E2DD5">
        <w:rPr>
          <w:rFonts w:ascii="Arial" w:eastAsia="Times New Roman" w:hAnsi="Arial" w:cs="Arial"/>
          <w:bCs/>
        </w:rPr>
        <w:t>Predsjednica</w:t>
      </w:r>
    </w:p>
    <w:p w14:paraId="5F4164AB" w14:textId="77777777" w:rsidR="000C6AC5" w:rsidRPr="001E2DD5" w:rsidRDefault="000C6AC5" w:rsidP="000C6AC5">
      <w:pPr>
        <w:spacing w:after="0" w:line="264" w:lineRule="auto"/>
        <w:ind w:left="4820"/>
        <w:jc w:val="center"/>
        <w:rPr>
          <w:rFonts w:ascii="Arial" w:eastAsia="Times New Roman" w:hAnsi="Arial" w:cs="Arial"/>
          <w:bCs/>
        </w:rPr>
      </w:pPr>
      <w:r w:rsidRPr="001E2DD5">
        <w:rPr>
          <w:rFonts w:ascii="Arial" w:eastAsia="Times New Roman" w:hAnsi="Arial" w:cs="Arial"/>
          <w:bCs/>
        </w:rPr>
        <w:t xml:space="preserve">Ana Prodan </w:t>
      </w:r>
      <w:proofErr w:type="spellStart"/>
      <w:r w:rsidRPr="001E2DD5">
        <w:rPr>
          <w:rFonts w:ascii="Arial" w:eastAsia="Times New Roman" w:hAnsi="Arial" w:cs="Arial"/>
          <w:bCs/>
        </w:rPr>
        <w:t>Mogorović</w:t>
      </w:r>
      <w:proofErr w:type="spellEnd"/>
      <w:r w:rsidRPr="001E2DD5">
        <w:rPr>
          <w:rFonts w:ascii="Arial" w:eastAsia="Times New Roman" w:hAnsi="Arial" w:cs="Arial"/>
          <w:bCs/>
        </w:rPr>
        <w:t xml:space="preserve">, </w:t>
      </w:r>
      <w:proofErr w:type="spellStart"/>
      <w:r w:rsidRPr="001E2DD5">
        <w:rPr>
          <w:rFonts w:ascii="Arial" w:eastAsia="Times New Roman" w:hAnsi="Arial" w:cs="Arial"/>
          <w:bCs/>
        </w:rPr>
        <w:t>dipl.iur</w:t>
      </w:r>
      <w:proofErr w:type="spellEnd"/>
    </w:p>
    <w:p w14:paraId="6ABFE316" w14:textId="77777777" w:rsidR="000C6AC5" w:rsidRPr="00075A59" w:rsidRDefault="000C6AC5" w:rsidP="000C6AC5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</w:p>
    <w:bookmarkEnd w:id="1"/>
    <w:p w14:paraId="5DB0CC37" w14:textId="77777777" w:rsidR="001C77F6" w:rsidRPr="00E468C1" w:rsidRDefault="001C77F6" w:rsidP="001C77F6">
      <w:pPr>
        <w:rPr>
          <w:rFonts w:ascii="Arial" w:hAnsi="Arial" w:cs="Arial"/>
        </w:rPr>
      </w:pPr>
    </w:p>
    <w:p w14:paraId="62973671" w14:textId="77777777" w:rsidR="007B3718" w:rsidRPr="00E468C1" w:rsidRDefault="007B3718">
      <w:pPr>
        <w:rPr>
          <w:rFonts w:ascii="Arial" w:hAnsi="Arial" w:cs="Arial"/>
        </w:rPr>
      </w:pPr>
    </w:p>
    <w:sectPr w:rsidR="007B3718" w:rsidRPr="00E46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F6"/>
    <w:rsid w:val="000C6AC5"/>
    <w:rsid w:val="001C77F6"/>
    <w:rsid w:val="001F35B2"/>
    <w:rsid w:val="002C1DBF"/>
    <w:rsid w:val="002E5FD4"/>
    <w:rsid w:val="0042732C"/>
    <w:rsid w:val="005F5757"/>
    <w:rsid w:val="0069608C"/>
    <w:rsid w:val="007B3718"/>
    <w:rsid w:val="00953DDE"/>
    <w:rsid w:val="00A04F84"/>
    <w:rsid w:val="00A156AE"/>
    <w:rsid w:val="00C63674"/>
    <w:rsid w:val="00E468C1"/>
    <w:rsid w:val="00E6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A532"/>
  <w15:chartTrackingRefBased/>
  <w15:docId w15:val="{E30DC203-DC71-4F8A-B5E9-C78F39C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F6"/>
    <w:pPr>
      <w:spacing w:after="200" w:line="276" w:lineRule="auto"/>
    </w:p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27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E468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68C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68C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68C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68C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8C1"/>
    <w:rPr>
      <w:rFonts w:ascii="Segoe UI" w:hAnsi="Segoe UI" w:cs="Segoe UI"/>
      <w:sz w:val="18"/>
      <w:szCs w:val="18"/>
    </w:rPr>
  </w:style>
  <w:style w:type="character" w:customStyle="1" w:styleId="Naslov4Char">
    <w:name w:val="Naslov 4 Char"/>
    <w:basedOn w:val="Zadanifontodlomka"/>
    <w:link w:val="Naslov4"/>
    <w:uiPriority w:val="9"/>
    <w:rsid w:val="0042732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2017-03-23T13:34:00Z</cp:lastPrinted>
  <dcterms:created xsi:type="dcterms:W3CDTF">2017-03-01T11:26:00Z</dcterms:created>
  <dcterms:modified xsi:type="dcterms:W3CDTF">2021-03-08T12:49:00Z</dcterms:modified>
</cp:coreProperties>
</file>